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570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розподіл функціональних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обов’язків між керівництвом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ст.118, 119 Конституції України, ст. ст.10, 40 Закону України „Про місцеві державні адміністрації”, п. 7 Регламенту районної державної адміністрації та у зв’язку із кадровими змінами:</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Розподіл функціональних обов’язків між головою, першим заступником голови та заступником голови  районної державної адміністрації, згідно з додатком 1.</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Взаємозаміщення повноважень керівництва районної державної  адміністрації, згідно з додатком 2.</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Закріплення керівництва районної державної адміністрації за виконанням делегованих повноважень органів виконавчої влади виконавчими комітетами органів місцевого самоврядування Пустомитівського району, згідно з додатком 3.</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Встановити, що перший заступник голови та заступник голови районної державної адміністрації, керуючись чинним законодавством, розпорядженнями і дорученнями голови районної державної адміністрації, несуть персональну відповідальність за стан справ у дорученій їм сфері.</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12 березня 2016 року № 121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 розподіл функціональних обов’язків між керівництвом районної державної адміністрації”.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залишаю за собою.</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6 липня 2018 року</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№570</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hanging="11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РОЗПОДІЛ</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функціональних обов'язків між головою, першим заступником голови та заступником голови  районної державної адміністрації</w:t>
      </w: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районної державної адміністрації</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ffffff" w:val="clear"/>
        <w:tabs>
          <w:tab w:val="left" w:pos="8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1.Очолює районну державну адміністрацію, здійснює керівництво її діяльністю, несе відповідальність за виконання покладених на державну адміністрацію завдань і здійснення нею повноважень.</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ffffff" w:val="clear"/>
        <w:tabs>
          <w:tab w:val="left" w:pos="8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2.Представляє районну державну адміністрацію у відносинах з іншими державними органами та органами місцевого самоврядування, об'єднаннями громадян, підприємствами, установами, організаціями і громадянами в Україні та за її межами.</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3.Забезпечує:</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виконання Конституції та законів України, актів Президента України, Кабінету Міністрів України, інших органів виконавчої влади;</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законність і правопорядок, додержання прав і свобод громадян;</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виконання державних і регіональних програм соціально-економічного та культурно-національного розвитку;</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вирішення питань опіки;</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вирішення питань суспільно-політичного життя району;</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додержання законодавства про свободу совісті та релігійні організації на території району;</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сприяння міжнародному співробітництву в галузі науки, освіти, культури, фізкультури і спорту, охорони здоров'я, молодіжної політики;</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сприяння розвиткові науки, реалізації наукових програм;</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реалізацію державної політики у політико-правовій сфері;</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розробку концептуальних засад взаємодії органів виконавчої влади з населенням району;</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ffffff" w:val="clear"/>
        <w:tabs>
          <w:tab w:val="left" w:pos="52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роз'яснення політичного курсу Президента України, пропаганду серед населення району основних напрямів діяльності районної державної адміністрації;</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складання проекту бюджету та подання його на розгляд районній раді;</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виконання районного бюджету і схвалення районною радою програм;</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взаємодію з органами місцевого самоврядування;</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регулярне заслуховування на засіданнях Колегії районної державної адміністрації інформації про роботу територіальних органів центральних органів виконавчої влади, їх структурних підрозділів, що забезпечують реалізацію повноважень центральних органів виконавчої влади, про роботу підприємств, установ та організацій, що належать до сфери управління центральних органів виконавчої влади;</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розгляд на засіданнях Колегії районної державної адміністрації питання про відповідність займаній посаді керівників та інших працівників територіальних органів центральних органів виконавчої влади, керівників підприємств, установ та організацій, що належать до сфери управління центральних органів виконавчої влади, та вживає відповідних заходів реагування;</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здійснення управління архівною справою</w:t>
      </w:r>
    </w:p>
    <w:p w:rsidR="00000000" w:rsidDel="00000000" w:rsidP="00000000" w:rsidRDefault="00000000" w:rsidRPr="00000000" w14:paraId="00000052">
      <w:pPr>
        <w:keepNext w:val="0"/>
        <w:keepLines w:val="0"/>
        <w:widowControl w:val="0"/>
        <w:numPr>
          <w:ilvl w:val="1"/>
          <w:numId w:val="1"/>
        </w:numPr>
        <w:pBdr>
          <w:top w:space="0" w:sz="0" w:val="nil"/>
          <w:left w:space="0" w:sz="0" w:val="nil"/>
          <w:bottom w:space="0" w:sz="0" w:val="nil"/>
          <w:right w:space="0" w:sz="0" w:val="nil"/>
          <w:between w:space="0" w:sz="0" w:val="nil"/>
        </w:pBdr>
        <w:shd w:fill="ffffff" w:val="clear"/>
        <w:tabs>
          <w:tab w:val="left" w:pos="264"/>
        </w:tabs>
        <w:spacing w:after="0" w:before="0" w:line="240" w:lineRule="auto"/>
        <w:ind w:left="1080" w:right="0" w:hanging="360"/>
        <w:jc w:val="both"/>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реалізацію інших, наданих Законом, а також делегованих районною радою повноважень.</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4.Інформує голову обласної державної адміністрації, засоби масової інформації, населення про суспільно-політичне, соціально-економічне становище в районі та про діяльність районної державної адміністрації.</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ffffff" w:val="clear"/>
        <w:tabs>
          <w:tab w:val="left" w:pos="8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Утворює апарат районної державної адміністрації.</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Призначає на посади та звільняє з посад своїх заступників, керівника апарату за погодженням з головою обласної державної адміністрації відповідно до встановленої процедури.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ffffff"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7.Призначає на посади та звільняє з посад керівників структурних підрозділів   районної державної адміністрації із статусом юридичної особи публічного права у порядку встановленому чинним законодавством.</w:t>
        <w:tab/>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ffffff" w:val="clear"/>
        <w:tabs>
          <w:tab w:val="left" w:pos="8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8.Укладає та розриває контракти з керівниками підприємств, установ та організацій, що належать до сфери управління районної державної адміністрації.</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ffffff" w:val="clear"/>
        <w:tabs>
          <w:tab w:val="left" w:pos="8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9.Погоджує у встановленому порядку призначення на посади та звільнення з посад керівників не підпорядкованих підприємств, установ та організацій, що належать до сфери управління органів виконавчої влади вищого рівня.</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ffffff" w:val="clear"/>
        <w:tabs>
          <w:tab w:val="left" w:pos="9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10.В межах затверджених бюджетів виступає розпорядником коштів районної державної адміністрацій, використовуючи їх лише за цільовим призначенням.</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ffffff" w:val="clear"/>
        <w:tabs>
          <w:tab w:val="left" w:pos="9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11.Утворює, для сприяння здійсненню повноважень районної державної адміністрації, консультативні, дорадчі та інші органи, служби та комісії, члени яких виконують свої функції на громадських засадах, а також визначає їх функції, завдання та персональний склад.</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ffffff" w:val="clear"/>
        <w:tabs>
          <w:tab w:val="left" w:pos="9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12.Утворює, реорганізовує, ліквідовує відповідно до законодавства управління, відділи та інші підрозділи районної державної адміністрації.</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ffffff" w:val="clear"/>
        <w:tabs>
          <w:tab w:val="left" w:pos="9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13.Регулярно інформує населення про стан виконання повноважень, покладених на районну державну адміністрацію.</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ffffff" w:val="clear"/>
        <w:tabs>
          <w:tab w:val="left" w:pos="9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14.Керує Колегією районної державної адміністрації.</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ffffff" w:val="clear"/>
        <w:tabs>
          <w:tab w:val="left" w:pos="9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Здійснює керівництво:</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відділом фінансово-господарського забезпечення апарату районної державної </w:t>
        <w:tab/>
        <w:tab/>
        <w:t xml:space="preserve">адміністрації;</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відділом цивільного захисту районної державної адміністрації;</w:t>
      </w:r>
    </w:p>
    <w:p w:rsidR="00000000" w:rsidDel="00000000" w:rsidP="00000000" w:rsidRDefault="00000000" w:rsidRPr="00000000" w14:paraId="00000062">
      <w:pPr>
        <w:keepNext w:val="0"/>
        <w:keepLines w:val="0"/>
        <w:widowControl w:val="0"/>
        <w:numPr>
          <w:ilvl w:val="1"/>
          <w:numId w:val="2"/>
        </w:numPr>
        <w:pBdr>
          <w:top w:space="0" w:sz="0" w:val="nil"/>
          <w:left w:space="0" w:sz="0" w:val="nil"/>
          <w:bottom w:space="0" w:sz="0" w:val="nil"/>
          <w:right w:space="0" w:sz="0" w:val="nil"/>
          <w:between w:space="0" w:sz="0" w:val="nil"/>
        </w:pBdr>
        <w:shd w:fill="ffffff" w:val="clear"/>
        <w:tabs>
          <w:tab w:val="left" w:pos="264"/>
        </w:tabs>
        <w:spacing w:after="0" w:before="0" w:line="240" w:lineRule="auto"/>
        <w:ind w:left="144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архівним відділом районної державної адміністрації;</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фінансовим управлінням районної державної адміністрації.</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3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Координує діяльність:</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управління державної казначейської служби України у Пустомитівському  районі;</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відділення Галицької ОДПІ ГУ ДФС у Львівській області;</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відділу поліції ГУ НП у Львівській області;</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банківських установ.</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17.Забезпечує взаємодію з:</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ffffff" w:val="clear"/>
        <w:tabs>
          <w:tab w:val="left" w:pos="3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Львівською місцевою прокуратурою № 3;</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40"/>
          <w:tab w:val="left" w:pos="945"/>
          <w:tab w:val="left" w:pos="103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Жовківським міжрайонним відділом СБУ у Львівській області;</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40"/>
          <w:tab w:val="left" w:pos="945"/>
          <w:tab w:val="left" w:pos="103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засобами масової інформації;</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40"/>
          <w:tab w:val="left" w:pos="945"/>
          <w:tab w:val="left" w:pos="103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судовими органами.</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18.Очолює комісії з питань: </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захисту прав дитини;</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техногенно- екологічної безпеки і надзвичайних ситуацій.</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 районної державної адміністрації</w:t>
      </w: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Перший заступник голови районної державної адміністрації виконує обов'язки голови районної державної адміністрації на час його відсутності.</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ffffff" w:val="clear"/>
        <w:tabs>
          <w:tab w:val="left" w:pos="5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Координує діяльність заступника голови, керівника апарату, керівників управлінь,  відділів та інших структурних підрозділів районної державної адміністрації відповідно до розподілу  функціональних обов'язків .</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ffffff" w:val="clear"/>
        <w:tabs>
          <w:tab w:val="left" w:pos="57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Відповідає за : </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розвиткові міжнародного регіонального співробітництва;</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зовнішньоекономічним зв'язкам підприємств, установ та організацій району;</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формування та розвиток інвестиційних міжнародних проектів і програм у відповідних сферах;</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встановлення відповідно до законодавства місцевих податків, зборів та інших обов'язкових платежів;</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стан фінансової дисципліни, обліку та звітності, виконання державних контрактів і зобов'язань перед бюджетом, належне і своєчасне відшкодування шкоди заподіяної державі;</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виконання розпоряджень голови районної державної адміністрації відповідно до покладених обов'язків ;</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у сферах розвитку економіки району;</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розробку проектів програм соціально-економічного розвитку району, організацію їх виконання; </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ефективного використання природних, трудових і фінансових ресурсів;</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створенню спільних підприємств, заснованих на базі об'єднання майна різних форм власності;</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8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складання необхідних для управління соціально-економічним розвитком балансів трудових, матеріально-фінансових ресурсів, місцевих  будівельних матеріалів, палива;</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8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формування кадрової політики;</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підготовку погоджень про розміщення на території району нових підприємств та інших  виробничих об'єктів незалежно від форм власності;</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створення і функціонування спеціальної (вільної) економічної зони на території району, розвиток малого і середнього бізнесу та підприємництва;</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40"/>
          <w:tab w:val="left" w:pos="9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виконання законодавства про військовий обов'язок;</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40"/>
          <w:tab w:val="left" w:pos="9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дотримання законності при приватизації об'єктів державної власності;</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ffffff" w:val="clear"/>
        <w:tabs>
          <w:tab w:val="left" w:pos="264"/>
          <w:tab w:val="left" w:pos="840"/>
          <w:tab w:val="left" w:pos="9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роботи та співпраці з районною радою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контролю за відповідністю робочих місць нормативним актам про охорону праці, проведення навчання, атестації з питань охорони праці, надання працюючим передбачених законодавством пільг і компенсацій, пов'язаних з важкими та шкідливими умовами праці, використання праці неповнолітніх, жінок та інвалідів згідно з чинним законодавством на підприємствах, в установах та організаціях усіх форм власності;</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стан оборонної та мобілізаційної роботи в районі;</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підготовки молоді до військової служби;</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підготовку відповідно до законодавства рішень з питань боротьби із стихійним лихом, епідеміями, а також рішень з питань боротьби з епізоотіями, за порушення яких встановлено відповідальність відповідно до Кодексу України про адміністративні правопорушення;</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в разі стихійного лиха, економічних катастроф, епідемій, пожеж, інших надзвичайних подій, передбачених законодавством заходів, пов'язаних з підтримкою громадського порядку, врятуванням життя людей, захистом їх здоров'я і прав, зосередження матеріальних цінностей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отримання від усіх суб'єктів підприємницької діяльності незалежно від форм власності інформації, необхідної для складання і виконання бюджету;</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розроблення і затвердження місцевих економічних програм, внесення пропозицій щодо регіональних та державних економічних програм;</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затвердження для підприємств, установ і організацій лімітів використання природних ресурсів, лімітів викидів і скидів забруднюючих речовин у навколишнє середовище та лімітів розміщення відходів у випадках, передбачених законодавством.</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роботи   і   сприяння   налагодженню   зв'язку   нафто-, газо-видобувних   і геологорозвідувальних та наукових установ;</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проведення роботи, спрямованої на доцільне розміщення продуктивних сил району шляхом видачі рекомендацій підприємствам промисловості та енергетики;</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державних та міжнародних програм і проектів в межах району;</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внесення в установленому порядку пропозицій щодо залучення іноземних інвестицій для розвитку економічного потенціалу району;</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виконання зобов'язань за міжнародними договорами України на території району;</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розвиток міжрегіональних економічних зв'язків;</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підготовку аналітичних, інформаційних та інших матеріалів;</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в установленому порядку регулювання інвестиційної діяльності, у тому числі підприємств з іноземними інвестиціями;</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заходів, пов'язаних з мобілізаційною підготовкою, цивільним захистом на території району.</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роботи тендерних комісій;</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об'єднання за згодою підприємств, установ, організацій належних їм ресурсів, бюджетних і позабюджетних коштів на будівництво, розширення, ремонт і утримання об'єктів соціальної і виробничої інфраструктури на селі;</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у галузі освіти, охорони здоров'я, соціального захисту населення;</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керівництва закладами освіти, охорони здоров'я, що належать до сфери управління районної державної адміністрації, організацією їх матеріально-фінансового забезпечення;</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медичної допомоги населенню, надання у межах повноважень пільг і допомог, пов'язаних з охороною материнства і дитинства;</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державних гарантій у сфері праці, організацію їх виконання;</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роботи , пов'язаної з проведенням оплачуваних громадських робіт для осіб, зареєстрованих як безробітні;</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додержання законодавства про пільги;</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розробку прогнозів розвитку мереж закладів освіти, охорони здоров'я та врахування їх при підготовці програм соціально-економічного розвитку району;</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у галузі культури, молодіжної політики і спорту ;</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керівництва закладами  культури, що належать до сфери управління районної державної адміністрації, організацією їх матеріально-фінансового забезпечення ;</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та контроль відповідно до законодавства за охороною, реставрацією та використанням пам'яток архітектури і містобудування, палацово-паркових, паркових та історико-культурних ландшафтів;</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розвиткові туризму;</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інформування засобів масової інформації про діяльність районної державної адміністрації;</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роботі творчих спілок, національно-культурних товариств, організацій, фондів, асоціацій, інших громадських організацій, які діють у сфері науки, освіти, фізкультури і спорту, молодіжної політики, охорони здоров'я, екології, соціального захисту населення;</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збереження стабільної політичної ситуації в районі, формування належної морально-психологічної атмосфери в регіоні;</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проведення аналізу та прогнозування суспільно-політичних, соціально-економічних процесів в районі;</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інформування центральних органів виконавчої влади, голови районної державної адміністрації про суспільно-політичну ситуацію в районі;</w:t>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вироблення практичних рекомендацій щодо оптимізації діяльності органів виконавчої влади, проведення державного будівництва цивілізованим демократичним шляхом;</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налагодження взаємодії між органами виконавчої влади, політичними партіями та громадськими формуваннями;</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налагодження та підтримку інформаційних зв'язків з відповідними службами інших районів, областей та держав, недержавними соціологічними та політологічними організаціями та фондами;</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суспільно-політичне співробітництво з іншими районами, прикордонними регіонами сусідніх держав;</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постійного моніторингу громадської думки щодо діяльності органів виконавчої влади та державотворчих кадрів;</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визначення впливу діяльності владних структур та посадових осіб на формування суспільно-політичної ситуації, збереження соціальної рівноваги, зміцнення авторитету виконавчої влади;</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формування політичної та правової культури населення;</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виявлення причин, прогнозування та попередження можливих конфліктних ситуацій в районі;</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проведення аналізу розстановки політичних сил в районі, вивчення діяльності політичних партій та громадських організацій;</w:t>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дослідження та аналіз тенденцій в інформаційному просторі, розробку заходів, спрямованих на дотримання законодавства у сфері діяльності засобів масової інформації;</w:t>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підготовку інформації (прикладного характеру) для внутрішнього службового користування;</w:t>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у сфері громадянства, забезпечення виконання актів законодавства з питань громадянства, надання притулку іноземним громадянам та особам без громадянства;</w:t>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роботи відповідних органів державної виконавчої влади, пов'язаної з розробленням та здійсненням заходів щодо розташування, працевлаштування, соціально-побутового і медичного обслуговування біженців, а також депортованих осіб, які добровільно повертаються в регіони їх колишнього проживання.</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2.Здійснює керівництво:</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економічного розвитку, інфраструктури та торгівлі районної державної адміністрації;</w:t>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надання адміністративних послуг районної державної адміністрації;</w:t>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управлінням соціального захисту населення районної державної адміністрації;</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культури районної державної адміністрації;</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сектором молоді та спорту районної державної адміністрації;</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службою у справах дітей  районної державної адміністрації;</w:t>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освіти  районної державної адміністрації.</w:t>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Координує діяльність:</w:t>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районного відділу ДУ”Львівський обласний лабораторний центр МОЗ України”;</w:t>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районного військового комісаріату;</w:t>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відділу статистики у Пустомитівському районі;</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району електричних мереж (в питаннях проектування та будівництва);</w:t>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УЕГГ;</w:t>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закладів охорони здоров'я;</w:t>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районного товариства Червоного Хреста;</w:t>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відділу обслуговування громадян(сервісного центру управління обслуговування громадян ГУ ПФУ у Львівській області);</w:t>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Пустомитівської районної філії  Львівського обласного центру зайнятості ;</w:t>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Пустомитівського районного територіального центру соціального обслуговування (надання соціальних послуг).</w:t>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Організовує роботу комісій  відповідно до розподілу функціональних обов’язків та розпоряджень голови.  </w:t>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Заступник голови районної державної адміністрації </w:t>
      </w: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Відповідає за:</w:t>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у галузях промисловості, транспорту, зв'язку та житлово-комунального господарства;</w:t>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ffffff" w:val="clear"/>
        <w:tabs>
          <w:tab w:val="left" w:pos="845"/>
          <w:tab w:val="left" w:pos="97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у сфері розвитку агропромислового комплексу в цілому та його окремих галузей, використання земельних ресурсів, їх захисту та відтворення, розвитку внутрішніх товарних ринків сільськогосподарської продукції;</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ffffff" w:val="clear"/>
        <w:tabs>
          <w:tab w:val="left" w:pos="845"/>
          <w:tab w:val="left" w:pos="97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аграрної реформи в районі, розроблення та впровадження експериментальних проектів з цих питань;</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розробку та виконання програм щодо раціонального використання земель, лісів, підвищення родючості ґрунтів; </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використання та охорону земель, лісів, надр, води, атмосферного повітря, рослинного і тваринного світу та інших природних ресурсів;</w:t>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вирішення питання щодо надання у користування мисливських угідь, віднесення лісів у випадках, передбачених законодавством, до категорії захищеності, а також поділу лісів за розрядами та заборони використання окремих лісових ресурсів;</w:t>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використання коштів, що надходять у порядку відшкодування втрат сільськогосподарського і лісогосподарського виробництва, пов'язаних із вилученням (викупом) земельних ділянок;</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виставкової діяльності в галузі агропромислового комплексу;</w:t>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регіональної політики щодо розвитку і функціонування промислового комплексу ;</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в галузі торгівлі та побутового обслуговування населення району ;</w:t>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стан транспорту та зв'язку ;</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вирішення питань благоустрою та шляхового господарства ;</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аналізу існуючого стану житлово-комунального господарства району та планування його розвитку;</w:t>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встановлення відповідно до законодавства цін та тарифів за виконання робіт і надання послуг, здійснення контролю за їх дотриманням;</w:t>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участь у веденні колективних переговорів та укладенні територіальних тарифних угод, вирішенні відповідно до законодавства колективних трудових спорів щодо підприємств, організацій і установ усіх форм власності.</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формування мережі міжнародних транспортних коридорів в межах, передбачених чинним законодавством;</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відповідно до законодавства роботи з атестації об'єктів, сертифікації продукції, робіт і послуг підприємств;</w:t>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підготовку погоджень про розташування на території району нових підприємств та інших виробничих об'єктів незалежно від форм власності;</w:t>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сприяння розвиткові міжнародного співробітництва в галузі промисловості, транспорту і зв'язку;</w:t>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внесення в установленому порядку пропозицій щодо залучення іноземних інвестицій для розвитку економічного потенціалу району в галузі промисловості, транспорту і зв'язку, шляхового господарства;</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координацію виставкової діяльності в галузі промислової політики, транспорту, зв'язку;</w:t>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розвиток міжрегіональних економічних зв'язків в галузі промислової політики, транспорту, зв'язку;</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роботу тендерних комісій в галузі промислової політики, транспорту, зв'язку, благоустрою та житлово-комунального господарства ;</w:t>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відповідно до законодавства контролю за організацією та якістю обслуговування населення підприємствами, установами та організаціями житлово-комунального господарства, а також за технічним станом, використанням і утриманням житла;</w:t>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порушення питань про припинення в установленому порядку діяльності підприємств, установ, організацій незалежно від форм власності у разі порушення ними законодавства про охорону навколишнього природного середовища, санітарних правил та в разі порушень, що створюють загрозу для життя чи здоров'я людей внаслідок порушення законодавства з питань охорони праці;</w:t>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вирішення  питань  капітального  будівництва,   в  тому  числі   газопроводів  та  ліній електропередач;</w:t>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реалізацію державної політики експертизи містобудування, організацію розробок та проведення експертизи містобудівної документації населених пунктів відповідно до законодавства, державних норм і стандартів;</w:t>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державного архітектурно-будівельного контролю за дотриманням будівельних норм відповідно до законодавства;</w:t>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відповідно до законодавства контролю за організацією та якістю приватизації житла;</w:t>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залучення в порядку, визначеному законодавством, підприємств, установ та організацій до участі у розвитку житлово-комунального господарства;</w:t>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спільної роботи паливно-енергетичного комплексу житлово-комунального господарства і підрозділів інших галузей з відновленням роботи, порушеної в результаті стихійних лих та аварій;</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ffffff" w:val="clear"/>
        <w:tabs>
          <w:tab w:val="left" w:pos="84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державного архітектурно-будівельного контролю за дотриманням будівельних норм відповідно до законодавства ;</w:t>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і контроль щодо забезпечення об'єктів соціально-культурного призначення, населення паливом, електроенергією, газом та іншими енергоносіями;</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роботи з атестації, сертифікації продукції, робіт і послуг підприємств та організацій житлово-комунального господарства;</w:t>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аналізу існуючого стану паливно-енергетичного та житлово-комунального господарства району і стратегічне планування його розвитку;</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координації і забезпечення контролю за ходом реалізації довгострокових, перспективних і поточних планів розвитку паливно-енергетичних та житлово-комунальних підприємств;</w:t>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розробку концепцій розвитку паливно-енергетичного комплексу і житлово-комунального господарства під час переходу до ринкових відносин;</w:t>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розробку регіональної програми із ресурсозбереження;</w:t>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залучення на договірних засадах підприємств, установ, організацій різних форм власності і різних відомств до участі в розвитку та створенні нових потужностей для випуску необхідної для населення району продукції;</w:t>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дотримання правил користування водозабірними спорудами, призначеними для задоволення питних, побутових та інших потреб населення, охорони санітарної зони, джерел водопостачання, обмеження або заборони використання підприємствами питної води у промислових цілях ;</w:t>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розробку разом з енергопостачальниками та газопостачальниками обмежень споживання енергії та газу у разі дефіциту;</w:t>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територій та об'єктів природно-заповідного фонду місцевого значення;</w:t>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вирішення питання про визнання місцевості як курорту, встановлення зон санітарної охорони курортів і визначення їх режиму;</w:t>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організацію контролю за санітарним станом навколишнього природного середовища, дотримання правил санітарної охорони;</w:t>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заходів щодо запобігання інфекційним захворюванням, епідеміям та їх ліквідації;</w:t>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інформування населення про стан навколишнього природного середовища, а також про заходи, що вживаються для його поліпшення;</w:t>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підготовку аналітичних, інформаційних та інших матеріалів.</w:t>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Здійснює керівництво:</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житлово-комунального господарства та будівництва районної державної адміністрації;</w:t>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економічного розвитку, інфраструктури та торгівлі районної державної адміністрації (з питань будівництва, реконструкції, капітальних та поточних ремонтів об'єктів соціально - культурної сфери району);</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містобудування та  архітектури районної державної адміністрації; </w:t>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відділом агропромислового розвитку районної державної адміністрації.</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Координує діяльність:</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філії “Пустомитівська ДЕД”;</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Пустомитівського району електричних мереж (в питаннях забезпечення електроенергією);</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відділу у Пустомитівському районі ГУ Держгеокадастру у Львівській області;</w:t>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управління Держпродспоживслужби у Пустомитівському районі;</w:t>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лісництв;</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підприємств електро- і поштового зв'язку.</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Організовує роботу комісій  відповідно до розподілу функціональних обов’язків та розпоряджень голови.  </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5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5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5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6 липня 2018 року</w:t>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№570</w:t>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ВЗАЄМОЗАМІЩЕННЯ</w:t>
      </w:r>
      <w:r w:rsidDel="00000000" w:rsidR="00000000" w:rsidRPr="00000000">
        <w:rPr>
          <w:rtl w:val="0"/>
        </w:rPr>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повноважень керівництва районної державної адміністрації</w:t>
      </w: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left"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114300" hidden="0" layoutInCell="1" locked="0" relativeHeight="0" simplePos="0">
                <wp:simplePos x="0" y="0"/>
                <wp:positionH relativeFrom="column">
                  <wp:posOffset>-101599</wp:posOffset>
                </wp:positionH>
                <wp:positionV relativeFrom="paragraph">
                  <wp:posOffset>215900</wp:posOffset>
                </wp:positionV>
                <wp:extent cx="6139180" cy="2694940"/>
                <wp:effectExtent b="0" l="0" r="0" t="0"/>
                <wp:wrapSquare wrapText="bothSides" distB="0" distT="0" distL="0" distR="114300"/>
                <wp:docPr id="1" name=""/>
                <a:graphic>
                  <a:graphicData uri="http://schemas.microsoft.com/office/word/2010/wordprocessingShape">
                    <wps:wsp>
                      <wps:cNvSpPr/>
                      <wps:cNvPr id="2" name="Shape 2"/>
                      <wps:spPr>
                        <a:xfrm>
                          <a:off x="2281173" y="2437293"/>
                          <a:ext cx="6129655" cy="268541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114300" hidden="0" layoutInCell="1" locked="0" relativeHeight="0" simplePos="0">
                <wp:simplePos x="0" y="0"/>
                <wp:positionH relativeFrom="column">
                  <wp:posOffset>-101599</wp:posOffset>
                </wp:positionH>
                <wp:positionV relativeFrom="paragraph">
                  <wp:posOffset>215900</wp:posOffset>
                </wp:positionV>
                <wp:extent cx="6139180" cy="2694940"/>
                <wp:effectExtent b="0" l="0" r="0" t="0"/>
                <wp:wrapSquare wrapText="bothSides" distB="0" distT="0" distL="0" distR="11430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139180" cy="2694940"/>
                        </a:xfrm>
                        <a:prstGeom prst="rect"/>
                        <a:ln/>
                      </pic:spPr>
                    </pic:pic>
                  </a:graphicData>
                </a:graphic>
              </wp:anchor>
            </w:drawing>
          </mc:Fallback>
        </mc:AlternateConten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6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5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53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53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6 липня 2018 року</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5529" w:right="0" w:firstLine="27.9999999999995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№570</w:t>
      </w:r>
    </w:p>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4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ЗАКРІПЛЕННЯ</w:t>
      </w:r>
      <w:r w:rsidDel="00000000" w:rsidR="00000000" w:rsidRPr="00000000">
        <w:rPr>
          <w:rtl w:val="0"/>
        </w:rPr>
      </w:r>
    </w:p>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керівництва районної державної адміністрації за виконанням делегованих повноважень органів виконавчої влади виконавчими комітетами органів місцевого самоврядування Пустомитівського району</w:t>
      </w:r>
      <w:r w:rsidDel="00000000" w:rsidR="00000000" w:rsidRPr="00000000">
        <w:rPr>
          <w:rtl w:val="0"/>
        </w:rPr>
      </w:r>
    </w:p>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730.0" w:type="dxa"/>
        <w:jc w:val="left"/>
        <w:tblInd w:w="20.0" w:type="dxa"/>
        <w:tblLayout w:type="fixed"/>
        <w:tblLook w:val="0000"/>
      </w:tblPr>
      <w:tblGrid>
        <w:gridCol w:w="525"/>
        <w:gridCol w:w="4245"/>
        <w:gridCol w:w="4960"/>
        <w:tblGridChange w:id="0">
          <w:tblGrid>
            <w:gridCol w:w="525"/>
            <w:gridCol w:w="4245"/>
            <w:gridCol w:w="496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Посада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 виконавчого комітету</w:t>
            </w:r>
            <w:r w:rsidDel="00000000" w:rsidR="00000000" w:rsidRPr="00000000">
              <w:rPr>
                <w:rtl w:val="0"/>
              </w:rPr>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місцевої ради</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голови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Борщовицька, Верхньобілківська,  Вовківська,  Годов.Басівська,Миколаївська, Оброшинська, Жирівська, Звенигородська,Ставчанська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голови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Зимноводівська, Конопницька,  Лапаївська, Лисиничівська, Містківська,   Пикуловичівська, Семенівська, Скнилівська, Сокільницька, Старосільська.</w:t>
            </w:r>
          </w:p>
        </w:tc>
      </w:tr>
    </w:tbl>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Начальник відділу фінансово-</w:t>
      </w: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ffffff" w:val="clear"/>
        <w:tabs>
          <w:tab w:val="left" w:pos="26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720"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sz w:val="26"/>
        <w:szCs w:val="26"/>
        <w:vertAlign w:val="baseline"/>
      </w:rPr>
    </w:lvl>
    <w:lvl w:ilvl="1">
      <w:start w:val="1"/>
      <w:numFmt w:val="bullet"/>
      <w:lvlText w:val="−"/>
      <w:lvlJc w:val="left"/>
      <w:pPr>
        <w:ind w:left="1080" w:hanging="360"/>
      </w:pPr>
      <w:rPr>
        <w:rFonts w:ascii="Noto Sans Symbols" w:cs="Noto Sans Symbols" w:eastAsia="Noto Sans Symbols" w:hAnsi="Noto Sans Symbols"/>
        <w:sz w:val="26"/>
        <w:szCs w:val="26"/>
        <w:vertAlign w:val="baseline"/>
      </w:rPr>
    </w:lvl>
    <w:lvl w:ilvl="2">
      <w:start w:val="1"/>
      <w:numFmt w:val="bullet"/>
      <w:lvlText w:val="−"/>
      <w:lvlJc w:val="left"/>
      <w:pPr>
        <w:ind w:left="720" w:hanging="360"/>
      </w:pPr>
      <w:rPr>
        <w:rFonts w:ascii="Noto Sans Symbols" w:cs="Noto Sans Symbols" w:eastAsia="Noto Sans Symbols" w:hAnsi="Noto Sans Symbols"/>
        <w:sz w:val="26"/>
        <w:szCs w:val="26"/>
        <w:vertAlign w:val="baseline"/>
      </w:rPr>
    </w:lvl>
    <w:lvl w:ilvl="3">
      <w:start w:val="1"/>
      <w:numFmt w:val="bullet"/>
      <w:lvlText w:val="−"/>
      <w:lvlJc w:val="left"/>
      <w:pPr>
        <w:ind w:left="360" w:hanging="360"/>
      </w:pPr>
      <w:rPr>
        <w:rFonts w:ascii="Noto Sans Symbols" w:cs="Noto Sans Symbols" w:eastAsia="Noto Sans Symbols" w:hAnsi="Noto Sans Symbols"/>
        <w:sz w:val="26"/>
        <w:szCs w:val="26"/>
        <w:vertAlign w:val="baseline"/>
      </w:rPr>
    </w:lvl>
    <w:lvl w:ilvl="4">
      <w:start w:val="1"/>
      <w:numFmt w:val="bullet"/>
      <w:lvlText w:val="−"/>
      <w:lvlJc w:val="left"/>
      <w:pPr>
        <w:ind w:left="0" w:hanging="360"/>
      </w:pPr>
      <w:rPr>
        <w:rFonts w:ascii="Noto Sans Symbols" w:cs="Noto Sans Symbols" w:eastAsia="Noto Sans Symbols" w:hAnsi="Noto Sans Symbols"/>
        <w:sz w:val="26"/>
        <w:szCs w:val="26"/>
        <w:vertAlign w:val="baseline"/>
      </w:rPr>
    </w:lvl>
    <w:lvl w:ilvl="5">
      <w:start w:val="1"/>
      <w:numFmt w:val="bullet"/>
      <w:lvlText w:val="−"/>
      <w:lvlJc w:val="left"/>
      <w:pPr>
        <w:ind w:left="360" w:hanging="360"/>
      </w:pPr>
      <w:rPr>
        <w:rFonts w:ascii="Noto Sans Symbols" w:cs="Noto Sans Symbols" w:eastAsia="Noto Sans Symbols" w:hAnsi="Noto Sans Symbols"/>
        <w:sz w:val="26"/>
        <w:szCs w:val="26"/>
        <w:vertAlign w:val="baseline"/>
      </w:rPr>
    </w:lvl>
    <w:lvl w:ilvl="6">
      <w:start w:val="1"/>
      <w:numFmt w:val="bullet"/>
      <w:lvlText w:val="−"/>
      <w:lvlJc w:val="left"/>
      <w:pPr>
        <w:ind w:left="720" w:hanging="360"/>
      </w:pPr>
      <w:rPr>
        <w:rFonts w:ascii="Noto Sans Symbols" w:cs="Noto Sans Symbols" w:eastAsia="Noto Sans Symbols" w:hAnsi="Noto Sans Symbols"/>
        <w:sz w:val="26"/>
        <w:szCs w:val="26"/>
        <w:vertAlign w:val="baseline"/>
      </w:rPr>
    </w:lvl>
    <w:lvl w:ilvl="7">
      <w:start w:val="1"/>
      <w:numFmt w:val="bullet"/>
      <w:lvlText w:val="−"/>
      <w:lvlJc w:val="left"/>
      <w:pPr>
        <w:ind w:left="1080" w:hanging="360"/>
      </w:pPr>
      <w:rPr>
        <w:rFonts w:ascii="Noto Sans Symbols" w:cs="Noto Sans Symbols" w:eastAsia="Noto Sans Symbols" w:hAnsi="Noto Sans Symbols"/>
        <w:sz w:val="26"/>
        <w:szCs w:val="26"/>
        <w:vertAlign w:val="baseline"/>
      </w:rPr>
    </w:lvl>
    <w:lvl w:ilvl="8">
      <w:start w:val="1"/>
      <w:numFmt w:val="bullet"/>
      <w:lvlText w:val="−"/>
      <w:lvlJc w:val="left"/>
      <w:pPr>
        <w:ind w:left="1440" w:hanging="360"/>
      </w:pPr>
      <w:rPr>
        <w:rFonts w:ascii="Noto Sans Symbols" w:cs="Noto Sans Symbols" w:eastAsia="Noto Sans Symbols" w:hAnsi="Noto Sans Symbols"/>
        <w:sz w:val="26"/>
        <w:szCs w:val="26"/>
        <w:vertAlign w:val="baseline"/>
      </w:rPr>
    </w:lvl>
  </w:abstractNum>
  <w:abstractNum w:abstractNumId="2">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
      <w:lvlJc w:val="left"/>
      <w:pPr>
        <w:ind w:left="144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160" w:hanging="360"/>
      </w:pPr>
      <w:rPr>
        <w:rFonts w:ascii="Noto Sans Symbols" w:cs="Noto Sans Symbols" w:eastAsia="Noto Sans Symbols" w:hAnsi="Noto Sans Symbols"/>
        <w:vertAlign w:val="baseline"/>
      </w:rPr>
    </w:lvl>
    <w:lvl w:ilvl="4">
      <w:start w:val="1"/>
      <w:numFmt w:val="bullet"/>
      <w:lvlText w:val="−"/>
      <w:lvlJc w:val="left"/>
      <w:pPr>
        <w:ind w:left="2520" w:hanging="360"/>
      </w:pPr>
      <w:rPr>
        <w:rFonts w:ascii="Noto Sans Symbols" w:cs="Noto Sans Symbols" w:eastAsia="Noto Sans Symbols" w:hAnsi="Noto Sans Symbols"/>
        <w:vertAlign w:val="baseline"/>
      </w:rPr>
    </w:lvl>
    <w:lvl w:ilvl="5">
      <w:start w:val="1"/>
      <w:numFmt w:val="bullet"/>
      <w:lvlText w:val="−"/>
      <w:lvlJc w:val="left"/>
      <w:pPr>
        <w:ind w:left="2880" w:hanging="360"/>
      </w:pPr>
      <w:rPr>
        <w:rFonts w:ascii="Noto Sans Symbols" w:cs="Noto Sans Symbols" w:eastAsia="Noto Sans Symbols" w:hAnsi="Noto Sans Symbols"/>
        <w:vertAlign w:val="baseline"/>
      </w:rPr>
    </w:lvl>
    <w:lvl w:ilvl="6">
      <w:start w:val="1"/>
      <w:numFmt w:val="bullet"/>
      <w:lvlText w:val="−"/>
      <w:lvlJc w:val="left"/>
      <w:pPr>
        <w:ind w:left="3240" w:hanging="360"/>
      </w:pPr>
      <w:rPr>
        <w:rFonts w:ascii="Noto Sans Symbols" w:cs="Noto Sans Symbols" w:eastAsia="Noto Sans Symbols" w:hAnsi="Noto Sans Symbols"/>
        <w:vertAlign w:val="baseline"/>
      </w:rPr>
    </w:lvl>
    <w:lvl w:ilvl="7">
      <w:start w:val="1"/>
      <w:numFmt w:val="bullet"/>
      <w:lvlText w:val="−"/>
      <w:lvlJc w:val="left"/>
      <w:pPr>
        <w:ind w:left="3600" w:hanging="360"/>
      </w:pPr>
      <w:rPr>
        <w:rFonts w:ascii="Noto Sans Symbols" w:cs="Noto Sans Symbols" w:eastAsia="Noto Sans Symbols" w:hAnsi="Noto Sans Symbols"/>
        <w:vertAlign w:val="baseline"/>
      </w:rPr>
    </w:lvl>
    <w:lvl w:ilvl="8">
      <w:start w:val="1"/>
      <w:numFmt w:val="bullet"/>
      <w:lvlText w:val="−"/>
      <w:lvlJc w:val="left"/>
      <w:pPr>
        <w:ind w:left="396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